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CF84F" w14:textId="537501D3" w:rsidR="00845869" w:rsidRPr="00845869" w:rsidRDefault="00845869" w:rsidP="00845869">
      <w:pPr>
        <w:rPr>
          <w:i/>
          <w:sz w:val="22"/>
          <w:szCs w:val="22"/>
        </w:rPr>
      </w:pPr>
      <w:r w:rsidRPr="00845869">
        <w:rPr>
          <w:sz w:val="22"/>
          <w:szCs w:val="22"/>
        </w:rPr>
        <w:t xml:space="preserve">The </w:t>
      </w:r>
      <w:r w:rsidRPr="00845869">
        <w:rPr>
          <w:color w:val="000000" w:themeColor="text1"/>
          <w:sz w:val="22"/>
          <w:szCs w:val="22"/>
        </w:rPr>
        <w:t xml:space="preserve">Franklin County </w:t>
      </w:r>
      <w:r w:rsidRPr="00845869">
        <w:rPr>
          <w:sz w:val="22"/>
          <w:szCs w:val="22"/>
        </w:rPr>
        <w:t xml:space="preserve">Health Department is accepting applications for a </w:t>
      </w:r>
      <w:r w:rsidRPr="00845869">
        <w:rPr>
          <w:b/>
          <w:color w:val="000000" w:themeColor="text1"/>
          <w:sz w:val="22"/>
          <w:szCs w:val="22"/>
        </w:rPr>
        <w:t>F</w:t>
      </w:r>
      <w:r w:rsidR="0002427C">
        <w:rPr>
          <w:b/>
          <w:color w:val="000000" w:themeColor="text1"/>
          <w:sz w:val="22"/>
          <w:szCs w:val="22"/>
        </w:rPr>
        <w:t>ull-</w:t>
      </w:r>
      <w:r w:rsidRPr="00845869">
        <w:rPr>
          <w:b/>
          <w:color w:val="000000" w:themeColor="text1"/>
          <w:sz w:val="22"/>
          <w:szCs w:val="22"/>
        </w:rPr>
        <w:t>T</w:t>
      </w:r>
      <w:r w:rsidR="0002427C">
        <w:rPr>
          <w:b/>
          <w:color w:val="000000" w:themeColor="text1"/>
          <w:sz w:val="22"/>
          <w:szCs w:val="22"/>
        </w:rPr>
        <w:t>ime</w:t>
      </w:r>
      <w:r w:rsidRPr="00845869">
        <w:rPr>
          <w:b/>
          <w:color w:val="000000" w:themeColor="text1"/>
          <w:sz w:val="22"/>
          <w:szCs w:val="22"/>
        </w:rPr>
        <w:t xml:space="preserve"> </w:t>
      </w:r>
      <w:r w:rsidR="0002427C">
        <w:rPr>
          <w:b/>
          <w:sz w:val="22"/>
          <w:szCs w:val="22"/>
          <w:u w:val="single"/>
        </w:rPr>
        <w:t xml:space="preserve">Public Health Program Coordinator </w:t>
      </w:r>
      <w:proofErr w:type="gramStart"/>
      <w:r w:rsidR="0002427C">
        <w:rPr>
          <w:b/>
          <w:sz w:val="22"/>
          <w:szCs w:val="22"/>
          <w:u w:val="single"/>
        </w:rPr>
        <w:t xml:space="preserve">for </w:t>
      </w:r>
      <w:r w:rsidRPr="00845869">
        <w:rPr>
          <w:b/>
          <w:sz w:val="22"/>
          <w:szCs w:val="22"/>
          <w:u w:val="single"/>
        </w:rPr>
        <w:t xml:space="preserve"> Harm</w:t>
      </w:r>
      <w:proofErr w:type="gramEnd"/>
      <w:r w:rsidRPr="00845869">
        <w:rPr>
          <w:b/>
          <w:sz w:val="22"/>
          <w:szCs w:val="22"/>
          <w:u w:val="single"/>
        </w:rPr>
        <w:t xml:space="preserve"> Reduction/Syringe Exchange Program</w:t>
      </w:r>
    </w:p>
    <w:p w14:paraId="4D8EC444" w14:textId="77777777" w:rsidR="00845869" w:rsidRPr="00845869" w:rsidRDefault="00845869" w:rsidP="00845869">
      <w:pPr>
        <w:rPr>
          <w:sz w:val="22"/>
          <w:szCs w:val="22"/>
        </w:rPr>
      </w:pPr>
    </w:p>
    <w:p w14:paraId="790C4F2C" w14:textId="68892690" w:rsidR="00845869" w:rsidRPr="00845869" w:rsidRDefault="00845869" w:rsidP="00845869">
      <w:pPr>
        <w:rPr>
          <w:sz w:val="22"/>
          <w:szCs w:val="22"/>
        </w:rPr>
      </w:pPr>
      <w:r w:rsidRPr="00845869">
        <w:rPr>
          <w:b/>
          <w:sz w:val="22"/>
          <w:szCs w:val="22"/>
          <w:u w:val="single"/>
        </w:rPr>
        <w:t xml:space="preserve">General Duties </w:t>
      </w:r>
      <w:proofErr w:type="gramStart"/>
      <w:r w:rsidRPr="00845869">
        <w:rPr>
          <w:b/>
          <w:sz w:val="22"/>
          <w:szCs w:val="22"/>
          <w:u w:val="single"/>
        </w:rPr>
        <w:t>include</w:t>
      </w:r>
      <w:r w:rsidRPr="00845869">
        <w:rPr>
          <w:sz w:val="22"/>
          <w:szCs w:val="22"/>
        </w:rPr>
        <w:t>:</w:t>
      </w:r>
      <w:proofErr w:type="gramEnd"/>
      <w:r w:rsidRPr="00845869">
        <w:rPr>
          <w:sz w:val="22"/>
          <w:szCs w:val="22"/>
        </w:rPr>
        <w:t xml:space="preserve">  This </w:t>
      </w:r>
      <w:r w:rsidR="0002427C">
        <w:rPr>
          <w:sz w:val="22"/>
          <w:szCs w:val="22"/>
        </w:rPr>
        <w:t xml:space="preserve">in – person </w:t>
      </w:r>
      <w:r w:rsidRPr="00845869">
        <w:rPr>
          <w:sz w:val="22"/>
          <w:szCs w:val="22"/>
        </w:rPr>
        <w:t xml:space="preserve">position serves under limited direction of the Nurse </w:t>
      </w:r>
      <w:r w:rsidR="0002427C">
        <w:rPr>
          <w:sz w:val="22"/>
          <w:szCs w:val="22"/>
        </w:rPr>
        <w:t>Administrator</w:t>
      </w:r>
      <w:r w:rsidRPr="00845869">
        <w:rPr>
          <w:sz w:val="22"/>
          <w:szCs w:val="22"/>
        </w:rPr>
        <w:t xml:space="preserve">.  Responsibilities for this position include but are not limited to:  serve as a primary expert, consultant and liaison at the county level on administrative matters for community partners to include agency, state, local and federal standards, regulations and documentation requirements for the Harm Reduction/Syringe Exchange Program. Develop, provide or assist with educational counseling and teaching activities for program clients and community partners.  Provide or assist the agency in obtaining materials, supplies, equipment, or additional training resources that would be needed to comply with assigned area rules and guidelines, which may include </w:t>
      </w:r>
      <w:r w:rsidR="0002427C">
        <w:rPr>
          <w:sz w:val="22"/>
          <w:szCs w:val="22"/>
        </w:rPr>
        <w:t>n</w:t>
      </w:r>
      <w:r w:rsidRPr="00845869">
        <w:rPr>
          <w:sz w:val="22"/>
          <w:szCs w:val="22"/>
        </w:rPr>
        <w:t xml:space="preserve">aloxone distribution, social services referrals, treatment center referrals, infectious disease testing, etc.  Provide Harm Reduction/Syringe Exchange services to program clients during established program hours. Conduct evaluations of clients and program to provide quality improvement of service delivery as well as quantity of service requirements.  Develop, evaluate, and provide assistance or guidance in establishing policies or procedures; these may include preparation of local or state required reports or grants as requested or required within Harm Reduction/Syringe Exchange Program.  Act as liaison between the agency, state and community partners to maintain and provide guidance and assistance. On a limited basis, may provide oversight or assistance to other Harm Reduction/Syringe Exchange partners and employees.  </w:t>
      </w:r>
    </w:p>
    <w:p w14:paraId="68464F75" w14:textId="77777777" w:rsidR="00845869" w:rsidRPr="00845869" w:rsidRDefault="00845869" w:rsidP="00845869">
      <w:pPr>
        <w:rPr>
          <w:sz w:val="22"/>
          <w:szCs w:val="22"/>
        </w:rPr>
      </w:pPr>
    </w:p>
    <w:p w14:paraId="6C631ABC" w14:textId="0B44E7F2" w:rsidR="00845869" w:rsidRPr="00845869" w:rsidRDefault="00845869" w:rsidP="00845869">
      <w:pPr>
        <w:rPr>
          <w:sz w:val="22"/>
          <w:szCs w:val="22"/>
        </w:rPr>
      </w:pPr>
      <w:r w:rsidRPr="00845869">
        <w:rPr>
          <w:b/>
          <w:sz w:val="22"/>
          <w:szCs w:val="22"/>
          <w:u w:val="single"/>
        </w:rPr>
        <w:t>Minimum Education, Training or Experience</w:t>
      </w:r>
      <w:r w:rsidRPr="00845869">
        <w:rPr>
          <w:b/>
          <w:sz w:val="22"/>
          <w:szCs w:val="22"/>
        </w:rPr>
        <w:t>:</w:t>
      </w:r>
      <w:r w:rsidRPr="00845869">
        <w:rPr>
          <w:sz w:val="22"/>
          <w:szCs w:val="22"/>
        </w:rPr>
        <w:t xml:space="preserve">  </w:t>
      </w:r>
      <w:proofErr w:type="gramStart"/>
      <w:r w:rsidR="0002427C" w:rsidRPr="0002427C">
        <w:rPr>
          <w:sz w:val="22"/>
          <w:szCs w:val="22"/>
        </w:rPr>
        <w:t>Bachelor’s</w:t>
      </w:r>
      <w:r w:rsidRPr="0002427C">
        <w:rPr>
          <w:sz w:val="22"/>
          <w:szCs w:val="22"/>
        </w:rPr>
        <w:t xml:space="preserve"> degree in Public Health</w:t>
      </w:r>
      <w:proofErr w:type="gramEnd"/>
      <w:r w:rsidRPr="0002427C">
        <w:rPr>
          <w:sz w:val="22"/>
          <w:szCs w:val="22"/>
        </w:rPr>
        <w:t>, Community Health, Business, Public Administration or Health-related field and two (2) years of Public/Community Health or a health-related</w:t>
      </w:r>
      <w:r w:rsidR="0002427C" w:rsidRPr="0002427C">
        <w:rPr>
          <w:sz w:val="22"/>
          <w:szCs w:val="22"/>
        </w:rPr>
        <w:t xml:space="preserve"> position that would demonstrate the necessary knowledge, skills and abilities. </w:t>
      </w:r>
      <w:r w:rsidRPr="00845869">
        <w:rPr>
          <w:sz w:val="22"/>
          <w:szCs w:val="22"/>
        </w:rPr>
        <w:t xml:space="preserve"> </w:t>
      </w:r>
    </w:p>
    <w:p w14:paraId="31059955" w14:textId="77777777" w:rsidR="00845869" w:rsidRPr="00845869" w:rsidRDefault="00845869" w:rsidP="00845869">
      <w:pPr>
        <w:jc w:val="center"/>
        <w:rPr>
          <w:b/>
          <w:sz w:val="22"/>
          <w:szCs w:val="22"/>
        </w:rPr>
      </w:pPr>
    </w:p>
    <w:p w14:paraId="01CDB4AA" w14:textId="436CFCC6" w:rsidR="00845869" w:rsidRDefault="00845869" w:rsidP="00845869">
      <w:pPr>
        <w:rPr>
          <w:sz w:val="22"/>
          <w:szCs w:val="22"/>
        </w:rPr>
      </w:pPr>
      <w:r w:rsidRPr="00845869">
        <w:rPr>
          <w:b/>
          <w:sz w:val="22"/>
          <w:szCs w:val="22"/>
          <w:u w:val="single"/>
        </w:rPr>
        <w:t>Substitution for Education, Training or Experience</w:t>
      </w:r>
      <w:r w:rsidRPr="00845869">
        <w:rPr>
          <w:sz w:val="22"/>
          <w:szCs w:val="22"/>
        </w:rPr>
        <w:t xml:space="preserve">:  </w:t>
      </w:r>
      <w:proofErr w:type="spellStart"/>
      <w:proofErr w:type="gramStart"/>
      <w:r w:rsidR="0002427C">
        <w:rPr>
          <w:sz w:val="22"/>
          <w:szCs w:val="22"/>
        </w:rPr>
        <w:t>Master;s</w:t>
      </w:r>
      <w:proofErr w:type="spellEnd"/>
      <w:proofErr w:type="gramEnd"/>
      <w:r w:rsidR="0002427C">
        <w:rPr>
          <w:sz w:val="22"/>
          <w:szCs w:val="22"/>
        </w:rPr>
        <w:t xml:space="preserve"> Degree in Public Health, Business Administration, Nursing, Nutrition, Epidemiology or Environmental Health may substitute for one (1) year experience. </w:t>
      </w:r>
    </w:p>
    <w:p w14:paraId="31E79C09" w14:textId="77777777" w:rsidR="0002427C" w:rsidRPr="00845869" w:rsidRDefault="0002427C" w:rsidP="00845869">
      <w:pPr>
        <w:rPr>
          <w:sz w:val="22"/>
          <w:szCs w:val="22"/>
        </w:rPr>
      </w:pPr>
    </w:p>
    <w:p w14:paraId="4B9889E4" w14:textId="258D5842" w:rsidR="00845869" w:rsidRPr="00845869" w:rsidRDefault="00845869" w:rsidP="00845869">
      <w:pPr>
        <w:rPr>
          <w:sz w:val="22"/>
          <w:szCs w:val="22"/>
        </w:rPr>
      </w:pPr>
      <w:r w:rsidRPr="00845869">
        <w:rPr>
          <w:b/>
          <w:sz w:val="22"/>
          <w:szCs w:val="22"/>
          <w:u w:val="single"/>
        </w:rPr>
        <w:t>Starting Salary</w:t>
      </w:r>
      <w:r w:rsidRPr="00845869">
        <w:rPr>
          <w:sz w:val="22"/>
          <w:szCs w:val="22"/>
        </w:rPr>
        <w:t xml:space="preserve">:  </w:t>
      </w:r>
      <w:r w:rsidRPr="00845869">
        <w:rPr>
          <w:color w:val="000000" w:themeColor="text1"/>
          <w:sz w:val="22"/>
          <w:szCs w:val="22"/>
        </w:rPr>
        <w:t>$</w:t>
      </w:r>
      <w:r w:rsidR="0002427C">
        <w:rPr>
          <w:color w:val="000000" w:themeColor="text1"/>
          <w:sz w:val="22"/>
          <w:szCs w:val="22"/>
        </w:rPr>
        <w:t>19.51 – 23.81</w:t>
      </w:r>
      <w:r w:rsidRPr="00845869">
        <w:rPr>
          <w:sz w:val="22"/>
          <w:szCs w:val="22"/>
        </w:rPr>
        <w:t>/</w:t>
      </w:r>
      <w:proofErr w:type="spellStart"/>
      <w:r w:rsidRPr="00845869">
        <w:rPr>
          <w:sz w:val="22"/>
          <w:szCs w:val="22"/>
        </w:rPr>
        <w:t>hr</w:t>
      </w:r>
      <w:proofErr w:type="spellEnd"/>
      <w:r w:rsidRPr="00845869">
        <w:rPr>
          <w:sz w:val="22"/>
          <w:szCs w:val="22"/>
        </w:rPr>
        <w:t xml:space="preserve"> negotiable with additional experience.  Grade </w:t>
      </w:r>
      <w:r w:rsidR="0002427C">
        <w:rPr>
          <w:sz w:val="22"/>
          <w:szCs w:val="22"/>
        </w:rPr>
        <w:t>16</w:t>
      </w:r>
    </w:p>
    <w:p w14:paraId="35EEC925" w14:textId="77777777" w:rsidR="00845869" w:rsidRPr="00845869" w:rsidRDefault="00845869" w:rsidP="00845869">
      <w:pPr>
        <w:rPr>
          <w:sz w:val="22"/>
          <w:szCs w:val="22"/>
        </w:rPr>
      </w:pPr>
    </w:p>
    <w:p w14:paraId="24A76EB4" w14:textId="77777777" w:rsidR="00845869" w:rsidRPr="00845869" w:rsidRDefault="00845869" w:rsidP="00845869">
      <w:pPr>
        <w:rPr>
          <w:sz w:val="22"/>
          <w:szCs w:val="22"/>
        </w:rPr>
      </w:pPr>
      <w:r w:rsidRPr="00845869">
        <w:rPr>
          <w:b/>
          <w:sz w:val="22"/>
          <w:szCs w:val="22"/>
          <w:u w:val="single"/>
        </w:rPr>
        <w:t>Benefits</w:t>
      </w:r>
      <w:r w:rsidRPr="00845869">
        <w:rPr>
          <w:sz w:val="22"/>
          <w:szCs w:val="22"/>
        </w:rPr>
        <w:t xml:space="preserve">:  Sick and vacation time accrual; paid holidays; life insurance; health insurance through Kentucky Employee Health Plan; participation in Kentucky Public Pensions Authority.  </w:t>
      </w:r>
    </w:p>
    <w:p w14:paraId="464EB633" w14:textId="77777777" w:rsidR="00845869" w:rsidRPr="00845869" w:rsidRDefault="00845869" w:rsidP="00845869">
      <w:pPr>
        <w:rPr>
          <w:sz w:val="22"/>
          <w:szCs w:val="22"/>
        </w:rPr>
      </w:pPr>
    </w:p>
    <w:p w14:paraId="54B08EF4" w14:textId="11C60C4B" w:rsidR="00845869" w:rsidRPr="00845869" w:rsidRDefault="00845869" w:rsidP="00845869">
      <w:pPr>
        <w:rPr>
          <w:b/>
          <w:sz w:val="22"/>
          <w:szCs w:val="22"/>
        </w:rPr>
      </w:pPr>
      <w:r w:rsidRPr="00845869">
        <w:rPr>
          <w:b/>
          <w:bCs/>
          <w:sz w:val="22"/>
          <w:szCs w:val="22"/>
          <w:u w:val="single"/>
        </w:rPr>
        <w:t xml:space="preserve">Apply at </w:t>
      </w:r>
      <w:r w:rsidR="0002427C">
        <w:rPr>
          <w:b/>
          <w:bCs/>
          <w:sz w:val="22"/>
          <w:szCs w:val="22"/>
          <w:u w:val="single"/>
        </w:rPr>
        <w:t xml:space="preserve">  </w:t>
      </w:r>
      <w:hyperlink r:id="rId7" w:history="1">
        <w:r w:rsidR="0002427C" w:rsidRPr="00852AB9">
          <w:rPr>
            <w:rStyle w:val="Hyperlink"/>
            <w:rFonts w:eastAsiaTheme="minorHAnsi"/>
          </w:rPr>
          <w:t>https://chfs.wd12.myworkdayjobs.com/CHFS</w:t>
        </w:r>
      </w:hyperlink>
      <w:r w:rsidR="0002427C">
        <w:rPr>
          <w:rFonts w:eastAsiaTheme="minorHAnsi"/>
          <w:sz w:val="22"/>
          <w:szCs w:val="22"/>
        </w:rPr>
        <w:t xml:space="preserve"> </w:t>
      </w:r>
      <w:r w:rsidR="0002427C">
        <w:rPr>
          <w:rFonts w:eastAsiaTheme="minorHAnsi"/>
          <w:sz w:val="22"/>
          <w:szCs w:val="22"/>
        </w:rPr>
        <w:t>.  C</w:t>
      </w:r>
      <w:r w:rsidRPr="00845869">
        <w:rPr>
          <w:sz w:val="22"/>
          <w:szCs w:val="22"/>
        </w:rPr>
        <w:t xml:space="preserve">ompleted application must be submitted by </w:t>
      </w:r>
      <w:r w:rsidR="0002427C">
        <w:rPr>
          <w:b/>
          <w:bCs/>
          <w:sz w:val="22"/>
          <w:szCs w:val="22"/>
        </w:rPr>
        <w:t>March 28, 2025</w:t>
      </w:r>
      <w:r w:rsidRPr="00845869">
        <w:rPr>
          <w:b/>
          <w:bCs/>
          <w:sz w:val="22"/>
          <w:szCs w:val="22"/>
        </w:rPr>
        <w:t xml:space="preserve">.  </w:t>
      </w:r>
      <w:r w:rsidRPr="00845869">
        <w:rPr>
          <w:b/>
          <w:sz w:val="22"/>
          <w:szCs w:val="22"/>
        </w:rPr>
        <w:t xml:space="preserve">Transcripts must be uploaded before the close date of the advertisement if post-secondary education is required or may be substituted for experience.  Transcripts must list the degree awarded.  </w:t>
      </w:r>
      <w:r w:rsidRPr="00845869">
        <w:rPr>
          <w:sz w:val="22"/>
          <w:szCs w:val="22"/>
        </w:rPr>
        <w:t xml:space="preserve">Qualified applicants/employees are subject to a pre-screening, selection for interview, and/or demonstration of skills testing.  Employment may be contingent upon a successful drug screening and background check.  Equal Opportunity Employer. </w:t>
      </w:r>
    </w:p>
    <w:p w14:paraId="14690AF9" w14:textId="77777777" w:rsidR="00F66848" w:rsidRPr="00845869" w:rsidRDefault="00F66848" w:rsidP="00845869"/>
    <w:sectPr w:rsidR="00F66848" w:rsidRPr="00845869" w:rsidSect="0084586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81A09" w14:textId="77777777" w:rsidR="005A67F9" w:rsidRDefault="005A67F9" w:rsidP="00F906D3">
      <w:r>
        <w:separator/>
      </w:r>
    </w:p>
  </w:endnote>
  <w:endnote w:type="continuationSeparator" w:id="0">
    <w:p w14:paraId="1B995942" w14:textId="77777777" w:rsidR="005A67F9" w:rsidRDefault="005A67F9" w:rsidP="00F9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DE155" w14:textId="77777777" w:rsidR="00F4554D" w:rsidRDefault="00F45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6FDC1" w14:textId="77777777" w:rsidR="008134C3" w:rsidRDefault="008134C3" w:rsidP="00F906D3">
    <w:pPr>
      <w:pStyle w:val="Footer"/>
      <w:jc w:val="center"/>
    </w:pPr>
    <w:r>
      <w:t>100 Glenns Creek Road, Frankfort, KY 40601</w:t>
    </w:r>
  </w:p>
  <w:p w14:paraId="76F1B744" w14:textId="77777777" w:rsidR="008134C3" w:rsidRDefault="008134C3" w:rsidP="00F906D3">
    <w:pPr>
      <w:pStyle w:val="Footer"/>
      <w:jc w:val="center"/>
    </w:pPr>
    <w:r>
      <w:t>Ph (502)564-4269   Fax</w:t>
    </w:r>
    <w:r w:rsidR="00E72700">
      <w:t xml:space="preserve"> </w:t>
    </w:r>
    <w:r>
      <w:t>(502) 564-9586</w:t>
    </w:r>
  </w:p>
  <w:p w14:paraId="3210A9F5" w14:textId="77777777" w:rsidR="00F906D3" w:rsidRDefault="00F906D3" w:rsidP="00F906D3">
    <w:pPr>
      <w:pStyle w:val="Footer"/>
      <w:jc w:val="center"/>
    </w:pPr>
    <w:hyperlink r:id="rId1" w:history="1">
      <w:r w:rsidRPr="00F906D3">
        <w:rPr>
          <w:rStyle w:val="Hyperlink"/>
          <w:b/>
        </w:rPr>
        <w:t>www.fchd.org</w:t>
      </w:r>
    </w:hyperlink>
  </w:p>
  <w:p w14:paraId="4454F864" w14:textId="77777777" w:rsidR="00F906D3" w:rsidRDefault="00F906D3" w:rsidP="00F906D3">
    <w:pPr>
      <w:pStyle w:val="Footer"/>
      <w:jc w:val="center"/>
    </w:pPr>
    <w:r>
      <w:rPr>
        <w:noProof/>
      </w:rPr>
      <w:drawing>
        <wp:inline distT="0" distB="0" distL="0" distR="0" wp14:anchorId="0B3A1517" wp14:editId="4E47B90B">
          <wp:extent cx="736600" cy="276225"/>
          <wp:effectExtent l="19050" t="0" r="6350" b="0"/>
          <wp:docPr id="6" name="Picture 5" descr="Facebook like us widg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 like us widget.jpg"/>
                  <pic:cNvPicPr/>
                </pic:nvPicPr>
                <pic:blipFill>
                  <a:blip r:embed="rId2"/>
                  <a:stretch>
                    <a:fillRect/>
                  </a:stretch>
                </pic:blipFill>
                <pic:spPr>
                  <a:xfrm>
                    <a:off x="0" y="0"/>
                    <a:ext cx="736600" cy="276225"/>
                  </a:xfrm>
                  <a:prstGeom prst="rect">
                    <a:avLst/>
                  </a:prstGeom>
                </pic:spPr>
              </pic:pic>
            </a:graphicData>
          </a:graphic>
        </wp:inline>
      </w:drawing>
    </w:r>
    <w:r w:rsidR="00767F45">
      <w:rPr>
        <w:noProof/>
      </w:rPr>
      <w:t xml:space="preserve">  </w:t>
    </w:r>
    <w:r w:rsidR="00767F45">
      <w:rPr>
        <w:noProof/>
      </w:rPr>
      <w:drawing>
        <wp:inline distT="0" distB="0" distL="0" distR="0" wp14:anchorId="3092C2D9" wp14:editId="0949CF3C">
          <wp:extent cx="352425" cy="284759"/>
          <wp:effectExtent l="19050" t="0" r="9525" b="0"/>
          <wp:docPr id="8" name="Picture 0" descr="Twit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logo.png"/>
                  <pic:cNvPicPr/>
                </pic:nvPicPr>
                <pic:blipFill>
                  <a:blip r:embed="rId3"/>
                  <a:stretch>
                    <a:fillRect/>
                  </a:stretch>
                </pic:blipFill>
                <pic:spPr>
                  <a:xfrm>
                    <a:off x="0" y="0"/>
                    <a:ext cx="355950" cy="287607"/>
                  </a:xfrm>
                  <a:prstGeom prst="rect">
                    <a:avLst/>
                  </a:prstGeom>
                </pic:spPr>
              </pic:pic>
            </a:graphicData>
          </a:graphic>
        </wp:inline>
      </w:drawing>
    </w:r>
    <w:r w:rsidR="00767F45">
      <w:rPr>
        <w:noProof/>
      </w:rPr>
      <w:drawing>
        <wp:inline distT="0" distB="0" distL="0" distR="0" wp14:anchorId="6F9FE073" wp14:editId="637289B2">
          <wp:extent cx="685800" cy="319135"/>
          <wp:effectExtent l="0" t="0" r="0" b="0"/>
          <wp:docPr id="3" name="Picture 2" descr="YouTube-logo-full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logo-full_color.png"/>
                  <pic:cNvPicPr/>
                </pic:nvPicPr>
                <pic:blipFill>
                  <a:blip r:embed="rId4"/>
                  <a:stretch>
                    <a:fillRect/>
                  </a:stretch>
                </pic:blipFill>
                <pic:spPr>
                  <a:xfrm>
                    <a:off x="0" y="0"/>
                    <a:ext cx="700670" cy="326055"/>
                  </a:xfrm>
                  <a:prstGeom prst="rect">
                    <a:avLst/>
                  </a:prstGeom>
                </pic:spPr>
              </pic:pic>
            </a:graphicData>
          </a:graphic>
        </wp:inline>
      </w:drawing>
    </w:r>
  </w:p>
  <w:p w14:paraId="0AC9ECBF" w14:textId="77777777" w:rsidR="00767F45" w:rsidRDefault="00767F45" w:rsidP="00F906D3">
    <w:pPr>
      <w:pStyle w:val="Footer"/>
      <w:jc w:val="center"/>
    </w:pPr>
  </w:p>
  <w:p w14:paraId="7F8C1BBF" w14:textId="77777777" w:rsidR="00F906D3" w:rsidRDefault="00F906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4E35F" w14:textId="77777777" w:rsidR="00F4554D" w:rsidRDefault="00F45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7A523" w14:textId="77777777" w:rsidR="005A67F9" w:rsidRDefault="005A67F9" w:rsidP="00F906D3">
      <w:r>
        <w:separator/>
      </w:r>
    </w:p>
  </w:footnote>
  <w:footnote w:type="continuationSeparator" w:id="0">
    <w:p w14:paraId="7E14F7C6" w14:textId="77777777" w:rsidR="005A67F9" w:rsidRDefault="005A67F9" w:rsidP="00F90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A79C2" w14:textId="77777777" w:rsidR="00F4554D" w:rsidRDefault="00F455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3"/>
      <w:gridCol w:w="5594"/>
      <w:gridCol w:w="2046"/>
    </w:tblGrid>
    <w:tr w:rsidR="00463AE6" w14:paraId="1BC590DF" w14:textId="77777777" w:rsidTr="00F4554D">
      <w:trPr>
        <w:jc w:val="center"/>
      </w:trPr>
      <w:tc>
        <w:tcPr>
          <w:tcW w:w="1936" w:type="dxa"/>
        </w:tcPr>
        <w:p w14:paraId="06286EA0" w14:textId="77777777" w:rsidR="00463AE6" w:rsidRDefault="00A15A33" w:rsidP="00F906D3">
          <w:pPr>
            <w:pStyle w:val="Header"/>
            <w:jc w:val="center"/>
            <w:rPr>
              <w:noProof/>
            </w:rPr>
          </w:pPr>
          <w:r w:rsidRPr="00A15A33">
            <w:rPr>
              <w:noProof/>
            </w:rPr>
            <w:drawing>
              <wp:inline distT="0" distB="0" distL="0" distR="0" wp14:anchorId="5BD84D1F" wp14:editId="14137AF4">
                <wp:extent cx="1204912" cy="1047750"/>
                <wp:effectExtent l="19050" t="0" r="0" b="0"/>
                <wp:docPr id="5" name="Picture 3"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206551" cy="1049175"/>
                        </a:xfrm>
                        <a:prstGeom prst="rect">
                          <a:avLst/>
                        </a:prstGeom>
                      </pic:spPr>
                    </pic:pic>
                  </a:graphicData>
                </a:graphic>
              </wp:inline>
            </w:drawing>
          </w:r>
        </w:p>
      </w:tc>
      <w:tc>
        <w:tcPr>
          <w:tcW w:w="5594" w:type="dxa"/>
        </w:tcPr>
        <w:p w14:paraId="5828ADA4" w14:textId="77777777" w:rsidR="00463AE6" w:rsidRDefault="00463AE6" w:rsidP="00F64B58">
          <w:pPr>
            <w:pStyle w:val="Header"/>
            <w:jc w:val="center"/>
            <w:rPr>
              <w:b/>
              <w:noProof/>
              <w:color w:val="365F91" w:themeColor="accent1" w:themeShade="BF"/>
              <w:sz w:val="20"/>
              <w:szCs w:val="20"/>
            </w:rPr>
          </w:pPr>
        </w:p>
        <w:p w14:paraId="2B9A4B4A" w14:textId="77777777" w:rsidR="00463AE6" w:rsidRDefault="00463AE6" w:rsidP="00F64B58">
          <w:pPr>
            <w:pStyle w:val="Header"/>
            <w:jc w:val="center"/>
            <w:rPr>
              <w:b/>
              <w:noProof/>
              <w:color w:val="365F91" w:themeColor="accent1" w:themeShade="BF"/>
              <w:sz w:val="52"/>
              <w:szCs w:val="52"/>
            </w:rPr>
          </w:pPr>
          <w:r w:rsidRPr="00463AE6">
            <w:rPr>
              <w:b/>
              <w:noProof/>
              <w:color w:val="365F91" w:themeColor="accent1" w:themeShade="BF"/>
              <w:sz w:val="52"/>
              <w:szCs w:val="52"/>
            </w:rPr>
            <w:t>Franklin County</w:t>
          </w:r>
        </w:p>
        <w:p w14:paraId="59472023" w14:textId="77777777" w:rsidR="00463AE6" w:rsidRPr="00463AE6" w:rsidRDefault="00463AE6" w:rsidP="00F64B58">
          <w:pPr>
            <w:pStyle w:val="Header"/>
            <w:jc w:val="center"/>
            <w:rPr>
              <w:b/>
              <w:noProof/>
              <w:color w:val="365F91" w:themeColor="accent1" w:themeShade="BF"/>
              <w:sz w:val="52"/>
              <w:szCs w:val="52"/>
            </w:rPr>
          </w:pPr>
          <w:r w:rsidRPr="00463AE6">
            <w:rPr>
              <w:b/>
              <w:noProof/>
              <w:color w:val="365F91" w:themeColor="accent1" w:themeShade="BF"/>
              <w:sz w:val="52"/>
              <w:szCs w:val="52"/>
            </w:rPr>
            <w:t>Health Department</w:t>
          </w:r>
        </w:p>
      </w:tc>
      <w:tc>
        <w:tcPr>
          <w:tcW w:w="2046" w:type="dxa"/>
        </w:tcPr>
        <w:p w14:paraId="18A8B8C8" w14:textId="77777777" w:rsidR="00463AE6" w:rsidRDefault="00463AE6" w:rsidP="00F906D3">
          <w:pPr>
            <w:pStyle w:val="Header"/>
            <w:jc w:val="center"/>
            <w:rPr>
              <w:noProof/>
            </w:rPr>
          </w:pPr>
          <w:r>
            <w:rPr>
              <w:noProof/>
            </w:rPr>
            <w:drawing>
              <wp:inline distT="0" distB="0" distL="0" distR="0" wp14:anchorId="4A6095AB" wp14:editId="765A8F58">
                <wp:extent cx="1133475" cy="1133475"/>
                <wp:effectExtent l="19050" t="0" r="9525" b="0"/>
                <wp:docPr id="2" name="Picture 2" descr="PHAB  seal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B  seal color.JPG"/>
                        <pic:cNvPicPr/>
                      </pic:nvPicPr>
                      <pic:blipFill>
                        <a:blip r:embed="rId2"/>
                        <a:stretch>
                          <a:fillRect/>
                        </a:stretch>
                      </pic:blipFill>
                      <pic:spPr>
                        <a:xfrm>
                          <a:off x="0" y="0"/>
                          <a:ext cx="1135119" cy="1135119"/>
                        </a:xfrm>
                        <a:prstGeom prst="rect">
                          <a:avLst/>
                        </a:prstGeom>
                      </pic:spPr>
                    </pic:pic>
                  </a:graphicData>
                </a:graphic>
              </wp:inline>
            </w:drawing>
          </w:r>
        </w:p>
      </w:tc>
    </w:tr>
  </w:tbl>
  <w:p w14:paraId="0553880B" w14:textId="77777777" w:rsidR="00F906D3" w:rsidRDefault="00F906D3" w:rsidP="00F906D3">
    <w:pPr>
      <w:pStyle w:val="Header"/>
      <w:jc w:val="center"/>
    </w:pPr>
    <w:r>
      <w:rPr>
        <w:noProof/>
      </w:rPr>
      <w:t xml:space="preserve">          </w:t>
    </w:r>
  </w:p>
  <w:p w14:paraId="7096B6FB" w14:textId="77777777" w:rsidR="00F906D3" w:rsidRDefault="00F906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786BC" w14:textId="77777777" w:rsidR="00F4554D" w:rsidRDefault="00F455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36C01"/>
    <w:multiLevelType w:val="hybridMultilevel"/>
    <w:tmpl w:val="7B46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B7A06"/>
    <w:multiLevelType w:val="hybridMultilevel"/>
    <w:tmpl w:val="1EE8FA1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40E13BF0"/>
    <w:multiLevelType w:val="hybridMultilevel"/>
    <w:tmpl w:val="484E3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8C4B20"/>
    <w:multiLevelType w:val="hybridMultilevel"/>
    <w:tmpl w:val="9EA0D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915DAA"/>
    <w:multiLevelType w:val="hybridMultilevel"/>
    <w:tmpl w:val="17D6B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2735EA"/>
    <w:multiLevelType w:val="hybridMultilevel"/>
    <w:tmpl w:val="FD682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C32E32"/>
    <w:multiLevelType w:val="hybridMultilevel"/>
    <w:tmpl w:val="F9CEE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8918340">
    <w:abstractNumId w:val="1"/>
  </w:num>
  <w:num w:numId="2" w16cid:durableId="23676786">
    <w:abstractNumId w:val="0"/>
  </w:num>
  <w:num w:numId="3" w16cid:durableId="233662233">
    <w:abstractNumId w:val="3"/>
  </w:num>
  <w:num w:numId="4" w16cid:durableId="867640291">
    <w:abstractNumId w:val="2"/>
  </w:num>
  <w:num w:numId="5" w16cid:durableId="430249739">
    <w:abstractNumId w:val="6"/>
  </w:num>
  <w:num w:numId="6" w16cid:durableId="1085761838">
    <w:abstractNumId w:val="5"/>
  </w:num>
  <w:num w:numId="7" w16cid:durableId="1639143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06D3"/>
    <w:rsid w:val="000202BA"/>
    <w:rsid w:val="0002427C"/>
    <w:rsid w:val="00030ADE"/>
    <w:rsid w:val="0006331A"/>
    <w:rsid w:val="000B7642"/>
    <w:rsid w:val="000C7E62"/>
    <w:rsid w:val="00123911"/>
    <w:rsid w:val="00150784"/>
    <w:rsid w:val="001675A4"/>
    <w:rsid w:val="001A6FAE"/>
    <w:rsid w:val="001C65BA"/>
    <w:rsid w:val="001D268E"/>
    <w:rsid w:val="001E67C0"/>
    <w:rsid w:val="00223819"/>
    <w:rsid w:val="00241952"/>
    <w:rsid w:val="0027702A"/>
    <w:rsid w:val="002B5193"/>
    <w:rsid w:val="002E7052"/>
    <w:rsid w:val="00316F7F"/>
    <w:rsid w:val="0032650D"/>
    <w:rsid w:val="0033231B"/>
    <w:rsid w:val="00356645"/>
    <w:rsid w:val="003A4D98"/>
    <w:rsid w:val="003B72F0"/>
    <w:rsid w:val="003C1E8B"/>
    <w:rsid w:val="003D4BAC"/>
    <w:rsid w:val="003F735F"/>
    <w:rsid w:val="003F7877"/>
    <w:rsid w:val="00443A00"/>
    <w:rsid w:val="0044759D"/>
    <w:rsid w:val="00463AE6"/>
    <w:rsid w:val="00492532"/>
    <w:rsid w:val="0049757B"/>
    <w:rsid w:val="004A0DA1"/>
    <w:rsid w:val="004A4548"/>
    <w:rsid w:val="004C2783"/>
    <w:rsid w:val="004C5A0D"/>
    <w:rsid w:val="004F0C95"/>
    <w:rsid w:val="005062A7"/>
    <w:rsid w:val="00554CD8"/>
    <w:rsid w:val="005A67F9"/>
    <w:rsid w:val="005E56A2"/>
    <w:rsid w:val="005F6E80"/>
    <w:rsid w:val="00647ECE"/>
    <w:rsid w:val="00650470"/>
    <w:rsid w:val="006C2947"/>
    <w:rsid w:val="00767F45"/>
    <w:rsid w:val="007A7966"/>
    <w:rsid w:val="007D43F2"/>
    <w:rsid w:val="007D66FD"/>
    <w:rsid w:val="007F3755"/>
    <w:rsid w:val="008134C3"/>
    <w:rsid w:val="0084419B"/>
    <w:rsid w:val="00845869"/>
    <w:rsid w:val="008838E9"/>
    <w:rsid w:val="009A5832"/>
    <w:rsid w:val="009D3712"/>
    <w:rsid w:val="00A15A33"/>
    <w:rsid w:val="00A70043"/>
    <w:rsid w:val="00A82409"/>
    <w:rsid w:val="00AE2F54"/>
    <w:rsid w:val="00AF62B6"/>
    <w:rsid w:val="00B11D5A"/>
    <w:rsid w:val="00B20FF2"/>
    <w:rsid w:val="00B8105B"/>
    <w:rsid w:val="00C129FC"/>
    <w:rsid w:val="00C34400"/>
    <w:rsid w:val="00C57586"/>
    <w:rsid w:val="00D043ED"/>
    <w:rsid w:val="00D225A8"/>
    <w:rsid w:val="00D41849"/>
    <w:rsid w:val="00D9276B"/>
    <w:rsid w:val="00DD2062"/>
    <w:rsid w:val="00DF3B49"/>
    <w:rsid w:val="00E22DC9"/>
    <w:rsid w:val="00E57717"/>
    <w:rsid w:val="00E72700"/>
    <w:rsid w:val="00ED7AEA"/>
    <w:rsid w:val="00F4554D"/>
    <w:rsid w:val="00F57EBB"/>
    <w:rsid w:val="00F64B58"/>
    <w:rsid w:val="00F66848"/>
    <w:rsid w:val="00F906D3"/>
    <w:rsid w:val="00FD4E3B"/>
    <w:rsid w:val="00FE6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24467F"/>
  <w15:docId w15:val="{997BCEDA-E6BB-4803-B7E3-35821690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64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B7642"/>
    <w:pPr>
      <w:keepNext/>
      <w:jc w:val="center"/>
      <w:outlineLvl w:val="0"/>
    </w:pPr>
    <w:rPr>
      <w:b/>
      <w:bCs/>
    </w:rPr>
  </w:style>
  <w:style w:type="paragraph" w:styleId="Heading3">
    <w:name w:val="heading 3"/>
    <w:basedOn w:val="Normal"/>
    <w:next w:val="Normal"/>
    <w:link w:val="Heading3Char"/>
    <w:qFormat/>
    <w:rsid w:val="000B7642"/>
    <w:pPr>
      <w:keepNext/>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6D3"/>
    <w:pPr>
      <w:tabs>
        <w:tab w:val="center" w:pos="4680"/>
        <w:tab w:val="right" w:pos="9360"/>
      </w:tabs>
    </w:pPr>
  </w:style>
  <w:style w:type="character" w:customStyle="1" w:styleId="HeaderChar">
    <w:name w:val="Header Char"/>
    <w:basedOn w:val="DefaultParagraphFont"/>
    <w:link w:val="Header"/>
    <w:uiPriority w:val="99"/>
    <w:rsid w:val="00F906D3"/>
  </w:style>
  <w:style w:type="paragraph" w:styleId="Footer">
    <w:name w:val="footer"/>
    <w:basedOn w:val="Normal"/>
    <w:link w:val="FooterChar"/>
    <w:uiPriority w:val="99"/>
    <w:unhideWhenUsed/>
    <w:rsid w:val="00F906D3"/>
    <w:pPr>
      <w:tabs>
        <w:tab w:val="center" w:pos="4680"/>
        <w:tab w:val="right" w:pos="9360"/>
      </w:tabs>
    </w:pPr>
  </w:style>
  <w:style w:type="character" w:customStyle="1" w:styleId="FooterChar">
    <w:name w:val="Footer Char"/>
    <w:basedOn w:val="DefaultParagraphFont"/>
    <w:link w:val="Footer"/>
    <w:uiPriority w:val="99"/>
    <w:rsid w:val="00F906D3"/>
  </w:style>
  <w:style w:type="paragraph" w:styleId="BalloonText">
    <w:name w:val="Balloon Text"/>
    <w:basedOn w:val="Normal"/>
    <w:link w:val="BalloonTextChar"/>
    <w:uiPriority w:val="99"/>
    <w:semiHidden/>
    <w:unhideWhenUsed/>
    <w:rsid w:val="00F906D3"/>
    <w:rPr>
      <w:rFonts w:ascii="Tahoma" w:hAnsi="Tahoma" w:cs="Tahoma"/>
      <w:sz w:val="16"/>
      <w:szCs w:val="16"/>
    </w:rPr>
  </w:style>
  <w:style w:type="character" w:customStyle="1" w:styleId="BalloonTextChar">
    <w:name w:val="Balloon Text Char"/>
    <w:basedOn w:val="DefaultParagraphFont"/>
    <w:link w:val="BalloonText"/>
    <w:uiPriority w:val="99"/>
    <w:semiHidden/>
    <w:rsid w:val="00F906D3"/>
    <w:rPr>
      <w:rFonts w:ascii="Tahoma" w:hAnsi="Tahoma" w:cs="Tahoma"/>
      <w:sz w:val="16"/>
      <w:szCs w:val="16"/>
    </w:rPr>
  </w:style>
  <w:style w:type="character" w:styleId="Hyperlink">
    <w:name w:val="Hyperlink"/>
    <w:basedOn w:val="DefaultParagraphFont"/>
    <w:uiPriority w:val="99"/>
    <w:unhideWhenUsed/>
    <w:rsid w:val="00F906D3"/>
    <w:rPr>
      <w:color w:val="0000FF" w:themeColor="hyperlink"/>
      <w:u w:val="single"/>
    </w:rPr>
  </w:style>
  <w:style w:type="table" w:styleId="TableGrid">
    <w:name w:val="Table Grid"/>
    <w:basedOn w:val="TableNormal"/>
    <w:uiPriority w:val="59"/>
    <w:rsid w:val="00463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B764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0B7642"/>
    <w:rPr>
      <w:rFonts w:ascii="Times New Roman" w:eastAsia="Times New Roman" w:hAnsi="Times New Roman" w:cs="Times New Roman"/>
      <w:b/>
      <w:bCs/>
      <w:sz w:val="28"/>
      <w:szCs w:val="24"/>
    </w:rPr>
  </w:style>
  <w:style w:type="paragraph" w:styleId="ListParagraph">
    <w:name w:val="List Paragraph"/>
    <w:basedOn w:val="Normal"/>
    <w:uiPriority w:val="34"/>
    <w:qFormat/>
    <w:rsid w:val="000B764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rldefense.com/v3/__https:/chfs.wd12.myworkdayjobs.com/CHFS__;!!Db6frn15oIvDD3UI!k21lOHU6p89F8FUDYGApdvE_xwuP_EfggLTzNHEdiS_DkMbH9eIk4z8IajAwRK9o1Hxi05I_l-6GvFpdR1aoucnsUw$"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hyperlink" Target="http://www.fchd.org"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Becki    (LHD - Franklin Co)</dc:creator>
  <cp:lastModifiedBy>Becki Casey</cp:lastModifiedBy>
  <cp:revision>31</cp:revision>
  <cp:lastPrinted>2020-08-18T13:43:00Z</cp:lastPrinted>
  <dcterms:created xsi:type="dcterms:W3CDTF">2013-06-10T13:51:00Z</dcterms:created>
  <dcterms:modified xsi:type="dcterms:W3CDTF">2025-02-28T17:03:00Z</dcterms:modified>
</cp:coreProperties>
</file>